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2BA13E3A"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bookmarkStart w:id="0" w:name="_GoBack"/>
      <w:bookmarkEnd w:id="0"/>
      <w:r>
        <w:rPr>
          <w:rFonts w:ascii="Arial" w:hAnsi="Arial" w:cs="Arial"/>
          <w:b/>
          <w:bCs/>
          <w:sz w:val="24"/>
          <w:szCs w:val="24"/>
          <w:lang w:val="en-US"/>
        </w:rPr>
        <w:t>3GPP TSG-RAN WG4 #9</w:t>
      </w:r>
      <w:r w:rsidR="00EC3DB1">
        <w:rPr>
          <w:rFonts w:ascii="Arial" w:hAnsi="Arial" w:cs="Arial"/>
          <w:b/>
          <w:bCs/>
          <w:sz w:val="24"/>
          <w:szCs w:val="24"/>
          <w:lang w:val="en-US"/>
        </w:rPr>
        <w:t>4</w:t>
      </w:r>
      <w:r w:rsidR="005727A7">
        <w:rPr>
          <w:rFonts w:ascii="Arial" w:hAnsi="Arial" w:cs="Arial"/>
          <w:b/>
          <w:bCs/>
          <w:sz w:val="24"/>
          <w:szCs w:val="24"/>
          <w:lang w:val="en-US"/>
        </w:rPr>
        <w:t>-e</w:t>
      </w:r>
      <w:r>
        <w:rPr>
          <w:rFonts w:ascii="Arial" w:hAnsi="Arial" w:cs="Arial"/>
          <w:b/>
          <w:sz w:val="24"/>
          <w:lang w:val="en-US"/>
        </w:rPr>
        <w:tab/>
      </w:r>
      <w:r>
        <w:rPr>
          <w:rFonts w:ascii="Arial" w:hAnsi="Arial" w:cs="Arial"/>
          <w:b/>
          <w:bCs/>
          <w:sz w:val="32"/>
          <w:szCs w:val="32"/>
          <w:lang w:val="en-US"/>
        </w:rPr>
        <w:t>R4-</w:t>
      </w:r>
      <w:r w:rsidR="005727A7">
        <w:rPr>
          <w:rFonts w:ascii="Arial" w:hAnsi="Arial" w:cs="Arial"/>
          <w:b/>
          <w:bCs/>
          <w:sz w:val="32"/>
          <w:szCs w:val="32"/>
          <w:lang w:val="en-US"/>
        </w:rPr>
        <w:t>2001418</w:t>
      </w:r>
    </w:p>
    <w:p w14:paraId="41FB8914" w14:textId="33112F53" w:rsidR="00645388" w:rsidRDefault="005727A7"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sidR="00645388">
        <w:rPr>
          <w:rFonts w:ascii="Arial" w:hAnsi="Arial" w:cs="Arial"/>
          <w:b/>
          <w:bCs/>
          <w:sz w:val="24"/>
          <w:szCs w:val="24"/>
        </w:rPr>
        <w:t>4</w:t>
      </w:r>
      <w:r w:rsidR="00645388">
        <w:rPr>
          <w:rFonts w:ascii="Arial" w:hAnsi="Arial" w:cs="Arial"/>
          <w:b/>
          <w:bCs/>
          <w:sz w:val="24"/>
          <w:szCs w:val="24"/>
          <w:vertAlign w:val="superscript"/>
        </w:rPr>
        <w:t>th</w:t>
      </w:r>
      <w:r w:rsidR="00645388">
        <w:rPr>
          <w:rFonts w:ascii="Arial" w:hAnsi="Arial" w:cs="Arial"/>
          <w:b/>
          <w:bCs/>
          <w:sz w:val="24"/>
          <w:szCs w:val="24"/>
        </w:rPr>
        <w:t xml:space="preserve"> </w:t>
      </w:r>
      <w:r>
        <w:rPr>
          <w:rFonts w:ascii="Arial" w:hAnsi="Arial" w:cs="Arial"/>
          <w:b/>
          <w:bCs/>
          <w:sz w:val="24"/>
          <w:szCs w:val="24"/>
        </w:rPr>
        <w:t xml:space="preserve">February </w:t>
      </w:r>
      <w:r w:rsidR="00645388">
        <w:rPr>
          <w:rFonts w:ascii="Arial" w:hAnsi="Arial" w:cs="Arial"/>
          <w:b/>
          <w:bCs/>
          <w:sz w:val="24"/>
          <w:szCs w:val="24"/>
        </w:rPr>
        <w:t xml:space="preserve">– </w:t>
      </w:r>
      <w:r>
        <w:rPr>
          <w:rFonts w:ascii="Arial" w:hAnsi="Arial" w:cs="Arial"/>
          <w:b/>
          <w:bCs/>
          <w:sz w:val="24"/>
          <w:szCs w:val="24"/>
        </w:rPr>
        <w:t>6</w:t>
      </w:r>
      <w:r w:rsidR="00645388">
        <w:rPr>
          <w:rFonts w:ascii="Arial" w:hAnsi="Arial" w:cs="Arial"/>
          <w:b/>
          <w:bCs/>
          <w:sz w:val="24"/>
          <w:szCs w:val="24"/>
          <w:vertAlign w:val="superscript"/>
        </w:rPr>
        <w:t xml:space="preserve">th </w:t>
      </w:r>
      <w:r>
        <w:rPr>
          <w:rFonts w:ascii="Arial" w:hAnsi="Arial" w:cs="Arial"/>
          <w:b/>
          <w:bCs/>
          <w:sz w:val="24"/>
          <w:szCs w:val="24"/>
        </w:rPr>
        <w:t>March</w:t>
      </w:r>
      <w:r w:rsidR="00645388">
        <w:rPr>
          <w:rFonts w:ascii="Arial" w:hAnsi="Arial" w:cs="Arial"/>
          <w:b/>
          <w:bCs/>
          <w:sz w:val="24"/>
          <w:szCs w:val="24"/>
        </w:rPr>
        <w:t xml:space="preserve">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5A10E040"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CA4A25">
        <w:rPr>
          <w:rFonts w:ascii="Arial" w:hAnsi="Arial" w:cs="Arial"/>
          <w:sz w:val="24"/>
          <w:lang w:val="en-US" w:eastAsia="zh-CN"/>
        </w:rPr>
        <w:t xml:space="preserve">Test aspects of </w:t>
      </w:r>
      <w:proofErr w:type="spellStart"/>
      <w:r w:rsidR="00CA4A25">
        <w:rPr>
          <w:rFonts w:ascii="Arial" w:hAnsi="Arial" w:cs="Arial"/>
          <w:sz w:val="24"/>
          <w:lang w:val="en-US" w:eastAsia="zh-CN"/>
        </w:rPr>
        <w:t>sRVCC</w:t>
      </w:r>
      <w:proofErr w:type="spellEnd"/>
      <w:r w:rsidR="00CA4A25">
        <w:rPr>
          <w:rFonts w:ascii="Arial" w:hAnsi="Arial" w:cs="Arial"/>
          <w:sz w:val="24"/>
          <w:lang w:val="en-US" w:eastAsia="zh-CN"/>
        </w:rPr>
        <w:t xml:space="preserve"> for NR</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41994099"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5727A7">
        <w:rPr>
          <w:rFonts w:ascii="Arial" w:hAnsi="Arial" w:cs="Arial"/>
          <w:sz w:val="24"/>
          <w:lang w:val="en-US" w:eastAsia="zh-CN"/>
        </w:rPr>
        <w:t>8.10.2</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77777777" w:rsidR="00E948E9" w:rsidRDefault="005813AA" w:rsidP="002E5998">
      <w:pPr>
        <w:pStyle w:val="Heading1"/>
      </w:pPr>
      <w:r w:rsidRPr="00DA6BF8">
        <w:t>Introduction</w:t>
      </w:r>
    </w:p>
    <w:p w14:paraId="02C5BBBE" w14:textId="162B0D7C" w:rsidR="006D1AAF" w:rsidRPr="006D1AAF" w:rsidRDefault="00CA4A25" w:rsidP="006D1AAF">
      <w:r>
        <w:t xml:space="preserve">In RAN4#93bis and RAN4#94, CRs were agreed to complete the core work on </w:t>
      </w:r>
      <w:proofErr w:type="spellStart"/>
      <w:r>
        <w:t>sRVCC</w:t>
      </w:r>
      <w:proofErr w:type="spellEnd"/>
      <w:r>
        <w:t xml:space="preserve"> handover to 3G from NR. In this paper, we discuss some testing aspects of </w:t>
      </w:r>
      <w:proofErr w:type="spellStart"/>
      <w:r>
        <w:t>sRVCC</w:t>
      </w:r>
      <w:proofErr w:type="spellEnd"/>
      <w:r>
        <w:t>.</w:t>
      </w:r>
    </w:p>
    <w:p w14:paraId="76C00D7C" w14:textId="77777777" w:rsidR="00902595" w:rsidRDefault="00902595" w:rsidP="00902595">
      <w:pPr>
        <w:pStyle w:val="Heading1"/>
        <w:jc w:val="both"/>
        <w:rPr>
          <w:rFonts w:eastAsia="SimSun"/>
          <w:lang w:val="en-US" w:eastAsia="zh-CN"/>
        </w:rPr>
      </w:pPr>
      <w:r>
        <w:rPr>
          <w:rFonts w:eastAsia="SimSun"/>
          <w:lang w:val="en-US" w:eastAsia="zh-CN"/>
        </w:rPr>
        <w:t>Discussion</w:t>
      </w:r>
    </w:p>
    <w:p w14:paraId="40D2475C" w14:textId="4666FD54" w:rsidR="00584C06" w:rsidRPr="00584C06" w:rsidRDefault="00584C06" w:rsidP="00584C06">
      <w:pPr>
        <w:pStyle w:val="Heading2"/>
        <w:rPr>
          <w:lang w:val="en-US" w:eastAsia="zh-CN"/>
        </w:rPr>
      </w:pPr>
      <w:r>
        <w:rPr>
          <w:lang w:val="en-US" w:eastAsia="zh-CN"/>
        </w:rPr>
        <w:t>Overview</w:t>
      </w:r>
      <w:r w:rsidR="00CA4A25">
        <w:rPr>
          <w:lang w:val="en-US" w:eastAsia="zh-CN"/>
        </w:rPr>
        <w:t xml:space="preserve"> of </w:t>
      </w:r>
      <w:r w:rsidR="00BE791A">
        <w:rPr>
          <w:lang w:val="en-US" w:eastAsia="zh-CN"/>
        </w:rPr>
        <w:t>mobility</w:t>
      </w:r>
      <w:r w:rsidR="00CA4A25">
        <w:rPr>
          <w:lang w:val="en-US" w:eastAsia="zh-CN"/>
        </w:rPr>
        <w:t xml:space="preserve"> operation of </w:t>
      </w:r>
      <w:r w:rsidR="00BE791A">
        <w:rPr>
          <w:lang w:val="en-US" w:eastAsia="zh-CN"/>
        </w:rPr>
        <w:t>S</w:t>
      </w:r>
      <w:r w:rsidR="00CA4A25">
        <w:rPr>
          <w:lang w:val="en-US" w:eastAsia="zh-CN"/>
        </w:rPr>
        <w:t>RVCC</w:t>
      </w:r>
    </w:p>
    <w:p w14:paraId="27430BA1" w14:textId="22341FFB" w:rsidR="00584C06" w:rsidRDefault="00CA4A25" w:rsidP="003F3FD9">
      <w:pPr>
        <w:rPr>
          <w:lang w:val="en-US" w:eastAsia="zh-CN"/>
        </w:rPr>
      </w:pPr>
      <w:r>
        <w:rPr>
          <w:lang w:val="en-US" w:eastAsia="zh-CN"/>
        </w:rPr>
        <w:t>The fundamental purpose of SRVCC is to hand off an ongoing packet switched voice call (</w:t>
      </w:r>
      <w:proofErr w:type="spellStart"/>
      <w:r>
        <w:rPr>
          <w:lang w:val="en-US" w:eastAsia="zh-CN"/>
        </w:rPr>
        <w:t>VoNR</w:t>
      </w:r>
      <w:proofErr w:type="spellEnd"/>
      <w:r>
        <w:rPr>
          <w:lang w:val="en-US" w:eastAsia="zh-CN"/>
        </w:rPr>
        <w:t xml:space="preserve"> or VoLTE) to </w:t>
      </w:r>
      <w:r w:rsidR="00BE791A">
        <w:rPr>
          <w:lang w:val="en-US" w:eastAsia="zh-CN"/>
        </w:rPr>
        <w:t xml:space="preserve">the CS capable network if a UE </w:t>
      </w:r>
      <w:r>
        <w:rPr>
          <w:lang w:val="en-US" w:eastAsia="zh-CN"/>
        </w:rPr>
        <w:t xml:space="preserve"> </w:t>
      </w:r>
      <w:r w:rsidR="00BE791A">
        <w:rPr>
          <w:lang w:val="en-US" w:eastAsia="zh-CN"/>
        </w:rPr>
        <w:t xml:space="preserve">reaches the edge of NR coverage (and cannot, or is not desired to switch to a VoLTE call).From a </w:t>
      </w:r>
      <w:r w:rsidR="00A3241C">
        <w:rPr>
          <w:lang w:val="en-US" w:eastAsia="zh-CN"/>
        </w:rPr>
        <w:t>radio</w:t>
      </w:r>
      <w:r w:rsidR="00BE791A">
        <w:rPr>
          <w:lang w:val="en-US" w:eastAsia="zh-CN"/>
        </w:rPr>
        <w:t xml:space="preserve"> perspective, the UE reports 3G measurements to the </w:t>
      </w:r>
      <w:proofErr w:type="spellStart"/>
      <w:r w:rsidR="00BE791A">
        <w:rPr>
          <w:lang w:val="en-US" w:eastAsia="zh-CN"/>
        </w:rPr>
        <w:t>gNB</w:t>
      </w:r>
      <w:proofErr w:type="spellEnd"/>
      <w:r w:rsidR="00BE791A">
        <w:rPr>
          <w:lang w:val="en-US" w:eastAsia="zh-CN"/>
        </w:rPr>
        <w:t>, an</w:t>
      </w:r>
      <w:r w:rsidR="00A3241C">
        <w:rPr>
          <w:lang w:val="en-US" w:eastAsia="zh-CN"/>
        </w:rPr>
        <w:t xml:space="preserve">d the </w:t>
      </w:r>
      <w:proofErr w:type="spellStart"/>
      <w:r w:rsidR="00A3241C">
        <w:rPr>
          <w:lang w:val="en-US" w:eastAsia="zh-CN"/>
        </w:rPr>
        <w:t>gNB</w:t>
      </w:r>
      <w:proofErr w:type="spellEnd"/>
      <w:r w:rsidR="00A3241C">
        <w:rPr>
          <w:lang w:val="en-US" w:eastAsia="zh-CN"/>
        </w:rPr>
        <w:t xml:space="preserve"> initiates handover preparation on the reported 3G cell and is provided with a 3G handover command, which it forwards to the UE.</w:t>
      </w:r>
      <w:r w:rsidR="00BE791A">
        <w:rPr>
          <w:lang w:val="en-US" w:eastAsia="zh-CN"/>
        </w:rPr>
        <w:t xml:space="preserve">  </w:t>
      </w:r>
      <w:r w:rsidR="00A3241C">
        <w:rPr>
          <w:lang w:val="en-US" w:eastAsia="zh-CN"/>
        </w:rPr>
        <w:t xml:space="preserve">There are also a large number of additional actions to reconfigure higher layers and audio codecs to ensure voice call continuity, however these do not have impact to RAN4. Should the network and UE support </w:t>
      </w:r>
      <w:proofErr w:type="spellStart"/>
      <w:r w:rsidR="00A3241C">
        <w:rPr>
          <w:lang w:val="en-US" w:eastAsia="zh-CN"/>
        </w:rPr>
        <w:t>rSRVCC</w:t>
      </w:r>
      <w:proofErr w:type="spellEnd"/>
      <w:r w:rsidR="00A3241C">
        <w:rPr>
          <w:lang w:val="en-US" w:eastAsia="zh-CN"/>
        </w:rPr>
        <w:t xml:space="preserve"> (reverse SRVCC), the call can subsequently be handed back from 3G CS to LTE PS</w:t>
      </w:r>
      <w:r w:rsidR="00855CDF">
        <w:rPr>
          <w:lang w:val="en-US" w:eastAsia="zh-CN"/>
        </w:rPr>
        <w:t xml:space="preserve"> and from LTE to NR, however it is important to recognize that direct 3G to NR mobility is not supported (3G RRC does not support NR measurement configuration and reports, for example).</w:t>
      </w:r>
    </w:p>
    <w:p w14:paraId="44BBA4AB" w14:textId="692EB2FE" w:rsidR="00855CDF" w:rsidRDefault="008B6ADC" w:rsidP="003F3FD9">
      <w:pPr>
        <w:rPr>
          <w:b/>
          <w:bCs/>
          <w:lang w:val="en-US" w:eastAsia="zh-CN"/>
        </w:rPr>
      </w:pPr>
      <w:r>
        <w:rPr>
          <w:b/>
          <w:bCs/>
          <w:lang w:val="en-US" w:eastAsia="zh-CN"/>
        </w:rPr>
        <w:t xml:space="preserve">Observation 1: Although SRVCC is supported in release 16, there is no corresponding </w:t>
      </w:r>
      <w:proofErr w:type="spellStart"/>
      <w:r>
        <w:rPr>
          <w:b/>
          <w:bCs/>
          <w:lang w:val="en-US" w:eastAsia="zh-CN"/>
        </w:rPr>
        <w:t>rSRVCC</w:t>
      </w:r>
      <w:proofErr w:type="spellEnd"/>
      <w:r>
        <w:rPr>
          <w:b/>
          <w:bCs/>
          <w:lang w:val="en-US" w:eastAsia="zh-CN"/>
        </w:rPr>
        <w:t xml:space="preserve"> procedure or other mobility directly from 3G to NR specified</w:t>
      </w:r>
    </w:p>
    <w:p w14:paraId="50E29DCD" w14:textId="0114F70E" w:rsidR="001E6B0C" w:rsidRPr="00584C06" w:rsidRDefault="001E6B0C" w:rsidP="001E6B0C">
      <w:pPr>
        <w:pStyle w:val="Heading2"/>
        <w:rPr>
          <w:lang w:val="en-US" w:eastAsia="zh-CN"/>
        </w:rPr>
      </w:pPr>
      <w:r>
        <w:rPr>
          <w:lang w:val="en-US" w:eastAsia="zh-CN"/>
        </w:rPr>
        <w:t>Testing aspects</w:t>
      </w:r>
    </w:p>
    <w:p w14:paraId="7D52CE27" w14:textId="08571EBE" w:rsidR="008B6ADC" w:rsidRDefault="008B6ADC" w:rsidP="003F3FD9">
      <w:pPr>
        <w:rPr>
          <w:lang w:val="en-US" w:eastAsia="zh-CN"/>
        </w:rPr>
      </w:pPr>
      <w:r>
        <w:rPr>
          <w:lang w:val="en-US" w:eastAsia="zh-CN"/>
        </w:rPr>
        <w:t xml:space="preserve">Similarly to other </w:t>
      </w:r>
      <w:proofErr w:type="spellStart"/>
      <w:r>
        <w:rPr>
          <w:lang w:val="en-US" w:eastAsia="zh-CN"/>
        </w:rPr>
        <w:t>interRAT</w:t>
      </w:r>
      <w:proofErr w:type="spellEnd"/>
      <w:r>
        <w:rPr>
          <w:lang w:val="en-US" w:eastAsia="zh-CN"/>
        </w:rPr>
        <w:t xml:space="preserve"> RRM procedures, it is beneficial to define RRM testcases to ensure that RAN4 requirements are met, and mobility between NR and 3G is operating correctly. For mobility between LTE and NR, testcases are specified in 38.133 section A.</w:t>
      </w:r>
      <w:r w:rsidR="00B11A35">
        <w:rPr>
          <w:lang w:val="en-US" w:eastAsia="zh-CN"/>
        </w:rPr>
        <w:t>8 which verify mobility from LTE standalone to NR.</w:t>
      </w:r>
      <w:r w:rsidR="001E6B0C">
        <w:rPr>
          <w:lang w:val="en-US" w:eastAsia="zh-CN"/>
        </w:rPr>
        <w:t xml:space="preserve"> Based on observation 1, it would not be possible to define the analogous tests in the direction of 3G to NR mobility, so we propose</w:t>
      </w:r>
    </w:p>
    <w:p w14:paraId="76951E1A" w14:textId="3C4847BD" w:rsidR="001E6B0C" w:rsidRDefault="001E6B0C" w:rsidP="003F3FD9">
      <w:pPr>
        <w:rPr>
          <w:b/>
          <w:bCs/>
          <w:lang w:val="en-US" w:eastAsia="zh-CN"/>
        </w:rPr>
      </w:pPr>
      <w:r>
        <w:rPr>
          <w:b/>
          <w:bCs/>
          <w:lang w:val="en-US" w:eastAsia="zh-CN"/>
        </w:rPr>
        <w:t>Proposal 1:RRM tests are introduced to verify NR to 3G mobility</w:t>
      </w:r>
    </w:p>
    <w:p w14:paraId="3BF4E2BF" w14:textId="2209472A" w:rsidR="001E6B0C" w:rsidRDefault="001E6B0C" w:rsidP="003F3FD9">
      <w:pPr>
        <w:rPr>
          <w:lang w:val="en-US" w:eastAsia="zh-CN"/>
        </w:rPr>
      </w:pPr>
      <w:r>
        <w:rPr>
          <w:lang w:val="en-US" w:eastAsia="zh-CN"/>
        </w:rPr>
        <w:t>Since it would not be possible to provide a calibrated 3G signal in an OTA environment, such tests should</w:t>
      </w:r>
      <w:r w:rsidR="00C329F7">
        <w:rPr>
          <w:lang w:val="en-US" w:eastAsia="zh-CN"/>
        </w:rPr>
        <w:t xml:space="preserve"> be conducted and</w:t>
      </w:r>
      <w:r>
        <w:rPr>
          <w:lang w:val="en-US" w:eastAsia="zh-CN"/>
        </w:rPr>
        <w:t xml:space="preserve"> use FR1 NR.</w:t>
      </w:r>
    </w:p>
    <w:p w14:paraId="64E38AF7" w14:textId="02F90EA1" w:rsidR="001E6B0C" w:rsidRDefault="001E6B0C" w:rsidP="001E6B0C">
      <w:pPr>
        <w:pStyle w:val="Heading2"/>
        <w:rPr>
          <w:lang w:val="en-US" w:eastAsia="zh-CN"/>
        </w:rPr>
      </w:pPr>
      <w:r>
        <w:rPr>
          <w:lang w:val="en-US" w:eastAsia="zh-CN"/>
        </w:rPr>
        <w:t>Test list</w:t>
      </w:r>
    </w:p>
    <w:tbl>
      <w:tblPr>
        <w:tblStyle w:val="TableGrid"/>
        <w:tblW w:w="0" w:type="auto"/>
        <w:tblLook w:val="04A0" w:firstRow="1" w:lastRow="0" w:firstColumn="1" w:lastColumn="0" w:noHBand="0" w:noVBand="1"/>
      </w:tblPr>
      <w:tblGrid>
        <w:gridCol w:w="1155"/>
        <w:gridCol w:w="1733"/>
        <w:gridCol w:w="1647"/>
        <w:gridCol w:w="3251"/>
        <w:gridCol w:w="2751"/>
      </w:tblGrid>
      <w:tr w:rsidR="005727A7" w14:paraId="2899631A" w14:textId="4795CC72" w:rsidTr="005727A7">
        <w:tc>
          <w:tcPr>
            <w:tcW w:w="1155" w:type="dxa"/>
          </w:tcPr>
          <w:p w14:paraId="7B1E94DC" w14:textId="0A47763E" w:rsidR="005727A7" w:rsidRPr="007432DD" w:rsidRDefault="005727A7" w:rsidP="001E6B0C">
            <w:pPr>
              <w:rPr>
                <w:b/>
                <w:bCs/>
                <w:lang w:val="en-US" w:eastAsia="zh-CN"/>
              </w:rPr>
            </w:pPr>
            <w:r>
              <w:rPr>
                <w:b/>
                <w:bCs/>
                <w:lang w:val="en-US" w:eastAsia="zh-CN"/>
              </w:rPr>
              <w:t>Test number</w:t>
            </w:r>
          </w:p>
        </w:tc>
        <w:tc>
          <w:tcPr>
            <w:tcW w:w="1733" w:type="dxa"/>
          </w:tcPr>
          <w:p w14:paraId="5F41BE38" w14:textId="490E322C" w:rsidR="005727A7" w:rsidRPr="007432DD" w:rsidRDefault="005727A7" w:rsidP="001E6B0C">
            <w:pPr>
              <w:rPr>
                <w:b/>
                <w:bCs/>
                <w:lang w:val="en-US" w:eastAsia="zh-CN"/>
              </w:rPr>
            </w:pPr>
            <w:r>
              <w:rPr>
                <w:b/>
                <w:bCs/>
                <w:lang w:val="en-US" w:eastAsia="zh-CN"/>
              </w:rPr>
              <w:t>Title</w:t>
            </w:r>
          </w:p>
        </w:tc>
        <w:tc>
          <w:tcPr>
            <w:tcW w:w="1647" w:type="dxa"/>
          </w:tcPr>
          <w:p w14:paraId="782B65BF" w14:textId="21CAAB2A" w:rsidR="005727A7" w:rsidRPr="007432DD" w:rsidRDefault="005727A7" w:rsidP="001E6B0C">
            <w:pPr>
              <w:rPr>
                <w:b/>
                <w:bCs/>
                <w:lang w:val="en-US" w:eastAsia="zh-CN"/>
              </w:rPr>
            </w:pPr>
            <w:r w:rsidRPr="007432DD">
              <w:rPr>
                <w:b/>
                <w:bCs/>
                <w:lang w:val="en-US" w:eastAsia="zh-CN"/>
              </w:rPr>
              <w:t>Test Purpose</w:t>
            </w:r>
          </w:p>
        </w:tc>
        <w:tc>
          <w:tcPr>
            <w:tcW w:w="3251" w:type="dxa"/>
          </w:tcPr>
          <w:p w14:paraId="33EB56CF" w14:textId="3EE59453" w:rsidR="005727A7" w:rsidRPr="007432DD" w:rsidRDefault="005727A7" w:rsidP="001E6B0C">
            <w:pPr>
              <w:rPr>
                <w:b/>
                <w:bCs/>
                <w:lang w:val="en-US" w:eastAsia="zh-CN"/>
              </w:rPr>
            </w:pPr>
            <w:r w:rsidRPr="007432DD">
              <w:rPr>
                <w:b/>
                <w:bCs/>
                <w:lang w:val="en-US" w:eastAsia="zh-CN"/>
              </w:rPr>
              <w:t>Description</w:t>
            </w:r>
          </w:p>
        </w:tc>
        <w:tc>
          <w:tcPr>
            <w:tcW w:w="2751" w:type="dxa"/>
          </w:tcPr>
          <w:p w14:paraId="58D114C5" w14:textId="761B875E" w:rsidR="005727A7" w:rsidRPr="007432DD" w:rsidRDefault="005727A7" w:rsidP="001E6B0C">
            <w:pPr>
              <w:rPr>
                <w:b/>
                <w:bCs/>
                <w:lang w:val="en-US" w:eastAsia="zh-CN"/>
              </w:rPr>
            </w:pPr>
            <w:r>
              <w:rPr>
                <w:b/>
                <w:bCs/>
                <w:lang w:val="en-US" w:eastAsia="zh-CN"/>
              </w:rPr>
              <w:t>Responsible company</w:t>
            </w:r>
          </w:p>
        </w:tc>
      </w:tr>
      <w:tr w:rsidR="005727A7" w14:paraId="6AC4B674" w14:textId="68169DDC" w:rsidTr="005727A7">
        <w:tc>
          <w:tcPr>
            <w:tcW w:w="1155" w:type="dxa"/>
          </w:tcPr>
          <w:p w14:paraId="1F7B9B2A" w14:textId="08C6F907" w:rsidR="005727A7" w:rsidRDefault="005727A7" w:rsidP="001E6B0C">
            <w:pPr>
              <w:rPr>
                <w:lang w:val="en-US" w:eastAsia="zh-CN"/>
              </w:rPr>
            </w:pPr>
            <w:r>
              <w:rPr>
                <w:lang w:val="en-US" w:eastAsia="zh-CN"/>
              </w:rPr>
              <w:t>1</w:t>
            </w:r>
          </w:p>
        </w:tc>
        <w:tc>
          <w:tcPr>
            <w:tcW w:w="1733" w:type="dxa"/>
          </w:tcPr>
          <w:p w14:paraId="63FC4F01" w14:textId="27B9C703" w:rsidR="005727A7" w:rsidRPr="007432DD" w:rsidRDefault="005727A7" w:rsidP="001E6B0C">
            <w:pPr>
              <w:rPr>
                <w:lang w:val="en-US" w:eastAsia="zh-CN"/>
              </w:rPr>
            </w:pPr>
            <w:r w:rsidRPr="007432DD">
              <w:rPr>
                <w:lang w:val="en-US" w:eastAsia="zh-CN"/>
              </w:rPr>
              <w:t xml:space="preserve">NR to UTRA FDD </w:t>
            </w:r>
            <w:r>
              <w:rPr>
                <w:lang w:val="en-US" w:eastAsia="zh-CN"/>
              </w:rPr>
              <w:t xml:space="preserve">Inter-RAT </w:t>
            </w:r>
            <w:r w:rsidRPr="007432DD">
              <w:rPr>
                <w:lang w:val="en-US" w:eastAsia="zh-CN"/>
              </w:rPr>
              <w:t>measurement reporting</w:t>
            </w:r>
          </w:p>
        </w:tc>
        <w:tc>
          <w:tcPr>
            <w:tcW w:w="1647" w:type="dxa"/>
          </w:tcPr>
          <w:p w14:paraId="616FD4C5" w14:textId="63FE50D5" w:rsidR="005727A7" w:rsidRDefault="005727A7" w:rsidP="001E6B0C">
            <w:pPr>
              <w:rPr>
                <w:lang w:val="en-US" w:eastAsia="zh-CN"/>
              </w:rPr>
            </w:pPr>
            <w:r>
              <w:rPr>
                <w:lang w:val="en-US" w:eastAsia="zh-CN"/>
              </w:rPr>
              <w:t xml:space="preserve">Verify UTRA cell detection requirements in section </w:t>
            </w:r>
            <w:r w:rsidRPr="00E34621">
              <w:rPr>
                <w:sz w:val="22"/>
              </w:rPr>
              <w:t>9.4.6.2.1</w:t>
            </w:r>
          </w:p>
        </w:tc>
        <w:tc>
          <w:tcPr>
            <w:tcW w:w="3251" w:type="dxa"/>
          </w:tcPr>
          <w:p w14:paraId="7DC28450" w14:textId="02D77525" w:rsidR="005727A7" w:rsidRDefault="005727A7" w:rsidP="001E6B0C">
            <w:pPr>
              <w:rPr>
                <w:lang w:val="en-US" w:eastAsia="zh-CN"/>
              </w:rPr>
            </w:pPr>
            <w:r>
              <w:rPr>
                <w:lang w:val="en-US" w:eastAsia="zh-CN"/>
              </w:rPr>
              <w:t xml:space="preserve">The test consists of two time phases, T1 and T2. During T1 the NR cell (cell 1) is powered on and a connection to the UE is established with a </w:t>
            </w:r>
            <w:proofErr w:type="spellStart"/>
            <w:r>
              <w:rPr>
                <w:lang w:val="en-US" w:eastAsia="zh-CN"/>
              </w:rPr>
              <w:t>neighbour</w:t>
            </w:r>
            <w:proofErr w:type="spellEnd"/>
            <w:r>
              <w:rPr>
                <w:lang w:val="en-US" w:eastAsia="zh-CN"/>
              </w:rPr>
              <w:t xml:space="preserve"> list including the UTRA cell (cell2). Cell 2 is powered off during T1. DRX is not used.</w:t>
            </w:r>
          </w:p>
          <w:p w14:paraId="5720CDD8" w14:textId="77777777" w:rsidR="005727A7" w:rsidRDefault="005727A7" w:rsidP="001E6B0C">
            <w:pPr>
              <w:rPr>
                <w:lang w:val="en-US" w:eastAsia="zh-CN"/>
              </w:rPr>
            </w:pPr>
            <w:r>
              <w:rPr>
                <w:lang w:val="en-US" w:eastAsia="zh-CN"/>
              </w:rPr>
              <w:lastRenderedPageBreak/>
              <w:t xml:space="preserve">During T2 cell 2 is powered on, such that it meets the side conditions in section 9.4.6.2.1 for cell detection. The time from the start of T2 until the UE transmits an event triggered measurement report containing cell 2 is verified. </w:t>
            </w:r>
          </w:p>
          <w:p w14:paraId="4728F041" w14:textId="0F34BA2D" w:rsidR="005727A7" w:rsidRDefault="005727A7" w:rsidP="001E6B0C">
            <w:pPr>
              <w:rPr>
                <w:lang w:val="en-US" w:eastAsia="zh-CN"/>
              </w:rPr>
            </w:pPr>
            <w:r>
              <w:rPr>
                <w:lang w:val="en-US" w:eastAsia="zh-CN"/>
              </w:rPr>
              <w:t>At the end of T2, cell 2 is powered off and the UE is restarted such that it will select cell 1 ready for the next iteration of the test.</w:t>
            </w:r>
          </w:p>
          <w:p w14:paraId="1A4269A1" w14:textId="2EFE5B31" w:rsidR="005727A7" w:rsidRDefault="005727A7" w:rsidP="001E6B0C">
            <w:pPr>
              <w:rPr>
                <w:lang w:val="en-US" w:eastAsia="zh-CN"/>
              </w:rPr>
            </w:pPr>
            <w:r>
              <w:rPr>
                <w:lang w:val="en-US" w:eastAsia="zh-CN"/>
              </w:rPr>
              <w:t>AWGN propagation conditions are used for cell 1 and cell2</w:t>
            </w:r>
          </w:p>
        </w:tc>
        <w:tc>
          <w:tcPr>
            <w:tcW w:w="2751" w:type="dxa"/>
          </w:tcPr>
          <w:p w14:paraId="46B2E806" w14:textId="77777777" w:rsidR="005727A7" w:rsidRDefault="005727A7" w:rsidP="001E6B0C">
            <w:pPr>
              <w:rPr>
                <w:lang w:val="en-US" w:eastAsia="zh-CN"/>
              </w:rPr>
            </w:pPr>
          </w:p>
        </w:tc>
      </w:tr>
      <w:tr w:rsidR="005727A7" w14:paraId="79124181" w14:textId="587C059F" w:rsidTr="005727A7">
        <w:trPr>
          <w:trHeight w:val="50"/>
        </w:trPr>
        <w:tc>
          <w:tcPr>
            <w:tcW w:w="1155" w:type="dxa"/>
          </w:tcPr>
          <w:p w14:paraId="17986D77" w14:textId="728FDFF8" w:rsidR="005727A7" w:rsidRDefault="005727A7" w:rsidP="00AC0F54">
            <w:pPr>
              <w:rPr>
                <w:lang w:val="en-US" w:eastAsia="zh-CN"/>
              </w:rPr>
            </w:pPr>
            <w:r>
              <w:rPr>
                <w:lang w:val="en-US" w:eastAsia="zh-CN"/>
              </w:rPr>
              <w:t>2</w:t>
            </w:r>
          </w:p>
        </w:tc>
        <w:tc>
          <w:tcPr>
            <w:tcW w:w="1733" w:type="dxa"/>
          </w:tcPr>
          <w:p w14:paraId="4DAC2DB2" w14:textId="2AC9FDA5" w:rsidR="005727A7" w:rsidRDefault="005727A7" w:rsidP="00AC0F54">
            <w:pPr>
              <w:rPr>
                <w:lang w:val="en-US" w:eastAsia="zh-CN"/>
              </w:rPr>
            </w:pPr>
            <w:r>
              <w:rPr>
                <w:lang w:val="en-US" w:eastAsia="zh-CN"/>
              </w:rPr>
              <w:t xml:space="preserve">NR to UTRA FDD </w:t>
            </w:r>
            <w:proofErr w:type="spellStart"/>
            <w:r>
              <w:rPr>
                <w:lang w:val="en-US" w:eastAsia="zh-CN"/>
              </w:rPr>
              <w:t>InterRAT</w:t>
            </w:r>
            <w:proofErr w:type="spellEnd"/>
            <w:r>
              <w:rPr>
                <w:lang w:val="en-US" w:eastAsia="zh-CN"/>
              </w:rPr>
              <w:t xml:space="preserve"> handover</w:t>
            </w:r>
          </w:p>
        </w:tc>
        <w:tc>
          <w:tcPr>
            <w:tcW w:w="1647" w:type="dxa"/>
          </w:tcPr>
          <w:p w14:paraId="6161D9BB" w14:textId="190E5CEF" w:rsidR="005727A7" w:rsidRDefault="005727A7" w:rsidP="00AC0F54">
            <w:pPr>
              <w:rPr>
                <w:lang w:val="en-US" w:eastAsia="zh-CN"/>
              </w:rPr>
            </w:pPr>
            <w:r>
              <w:rPr>
                <w:lang w:val="en-US" w:eastAsia="zh-CN"/>
              </w:rPr>
              <w:t xml:space="preserve">Verify UTRA handover requirements in section </w:t>
            </w:r>
            <w:r>
              <w:rPr>
                <w:sz w:val="22"/>
              </w:rPr>
              <w:t>6.1.2.2</w:t>
            </w:r>
          </w:p>
        </w:tc>
        <w:tc>
          <w:tcPr>
            <w:tcW w:w="3251" w:type="dxa"/>
          </w:tcPr>
          <w:p w14:paraId="18F4B2D6" w14:textId="1FAF325F" w:rsidR="005727A7" w:rsidRPr="00A62BB0" w:rsidRDefault="005727A7" w:rsidP="00AC0F54">
            <w:pPr>
              <w:rPr>
                <w:rFonts w:cs="v4.2.0"/>
              </w:rPr>
            </w:pPr>
            <w:r w:rsidRPr="00A62BB0">
              <w:t xml:space="preserve">Cell 1 is the </w:t>
            </w:r>
            <w:r>
              <w:t>NR</w:t>
            </w:r>
            <w:r w:rsidRPr="00A62BB0">
              <w:t xml:space="preserve"> and Cell 2 is an inter-RAT </w:t>
            </w:r>
            <w:r>
              <w:t>UTRA FDD</w:t>
            </w:r>
            <w:r w:rsidRPr="00A62BB0">
              <w:t xml:space="preserve"> neighbour cell.</w:t>
            </w:r>
            <w:r w:rsidRPr="00A62BB0">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t>
            </w:r>
            <w:r>
              <w:rPr>
                <w:rFonts w:cs="v4.2.0"/>
              </w:rPr>
              <w:t>GP0</w:t>
            </w:r>
            <w:r w:rsidRPr="00A62BB0">
              <w:t xml:space="preserve"> </w:t>
            </w:r>
            <w:r w:rsidRPr="00A62BB0">
              <w:rPr>
                <w:rFonts w:cs="v4.2.0"/>
              </w:rPr>
              <w:t>is configured before T2 begins to enable inter-RAT frequency monitoring.</w:t>
            </w:r>
          </w:p>
          <w:p w14:paraId="7E7D7C8D" w14:textId="54A9A6CA" w:rsidR="005727A7" w:rsidRPr="00A62BB0" w:rsidRDefault="005727A7" w:rsidP="00AC0F54">
            <w:pPr>
              <w:rPr>
                <w:rFonts w:cs="v4.2.0"/>
              </w:rPr>
            </w:pPr>
            <w:r w:rsidRPr="00A62BB0">
              <w:rPr>
                <w:rFonts w:cs="v4.2.0"/>
              </w:rPr>
              <w:t>A RRC message implying handover</w:t>
            </w:r>
            <w:r w:rsidRPr="00A62BB0">
              <w:t xml:space="preserve"> shall be sent to the UE during period T2 after the UE has reported </w:t>
            </w:r>
            <w:r>
              <w:t>the UTRA cell</w:t>
            </w:r>
            <w:r w:rsidRPr="00A62BB0">
              <w:t xml:space="preserve">. The start of </w:t>
            </w:r>
            <w:r w:rsidRPr="00A62BB0">
              <w:rPr>
                <w:rFonts w:cs="v4.2.0"/>
              </w:rPr>
              <w:t>T3 is the instant when the last TTI containing the RRC message implying handover is sent to the UE. The handover message shall contain Cell 2 as the target cell.</w:t>
            </w:r>
          </w:p>
          <w:p w14:paraId="380AFE86" w14:textId="77777777" w:rsidR="005727A7" w:rsidRDefault="005727A7" w:rsidP="00AC0F54">
            <w:pPr>
              <w:rPr>
                <w:lang w:val="en-US" w:eastAsia="zh-CN"/>
              </w:rPr>
            </w:pPr>
            <w:r>
              <w:rPr>
                <w:lang w:val="en-US" w:eastAsia="zh-CN"/>
              </w:rPr>
              <w:t>The delay from the start of T3 until a PRACH is sent to cell 2 is verified.</w:t>
            </w:r>
          </w:p>
          <w:p w14:paraId="01EAD37F" w14:textId="3C357F70" w:rsidR="005727A7" w:rsidRDefault="005727A7" w:rsidP="00AC0F54">
            <w:pPr>
              <w:rPr>
                <w:lang w:val="en-US" w:eastAsia="zh-CN"/>
              </w:rPr>
            </w:pPr>
            <w:r>
              <w:rPr>
                <w:lang w:val="en-US" w:eastAsia="zh-CN"/>
              </w:rPr>
              <w:t>AWGN propagation conditions are used for cell 1 and cell 2.</w:t>
            </w:r>
          </w:p>
        </w:tc>
        <w:tc>
          <w:tcPr>
            <w:tcW w:w="2751" w:type="dxa"/>
          </w:tcPr>
          <w:p w14:paraId="28F07DA1" w14:textId="28081555" w:rsidR="005727A7" w:rsidRPr="00A62BB0" w:rsidRDefault="005727A7" w:rsidP="00AC0F54">
            <w:r>
              <w:t>Ericsson</w:t>
            </w:r>
          </w:p>
        </w:tc>
      </w:tr>
    </w:tbl>
    <w:p w14:paraId="27B2E9F7" w14:textId="77777777" w:rsidR="001E6B0C" w:rsidRPr="001E6B0C" w:rsidRDefault="001E6B0C" w:rsidP="001E6B0C">
      <w:pPr>
        <w:rPr>
          <w:lang w:val="en-US" w:eastAsia="zh-CN"/>
        </w:rPr>
      </w:pPr>
    </w:p>
    <w:p w14:paraId="5221E09A" w14:textId="77777777" w:rsidR="006B6666" w:rsidRDefault="006B6666" w:rsidP="006B6666">
      <w:pPr>
        <w:pStyle w:val="Heading1"/>
        <w:jc w:val="both"/>
        <w:rPr>
          <w:rFonts w:eastAsia="SimSun"/>
          <w:lang w:val="en-US" w:eastAsia="zh-CN"/>
        </w:rPr>
      </w:pPr>
      <w:r>
        <w:rPr>
          <w:rFonts w:eastAsia="SimSun"/>
          <w:lang w:val="en-US" w:eastAsia="zh-CN"/>
        </w:rPr>
        <w:t>Conclusions</w:t>
      </w:r>
    </w:p>
    <w:p w14:paraId="183ABCB5" w14:textId="4B10DEE3" w:rsidR="00E1556C" w:rsidRPr="00E1556C" w:rsidRDefault="00E1556C" w:rsidP="00E1556C">
      <w:pPr>
        <w:rPr>
          <w:lang w:val="en-US" w:eastAsia="zh-CN"/>
        </w:rPr>
      </w:pPr>
      <w:r w:rsidRPr="00E1556C">
        <w:rPr>
          <w:lang w:val="en-US" w:eastAsia="zh-CN"/>
        </w:rPr>
        <w:t>In t</w:t>
      </w:r>
      <w:r>
        <w:rPr>
          <w:lang w:val="en-US" w:eastAsia="zh-CN"/>
        </w:rPr>
        <w:t>his contribution we discuss testcases for SRVCC mobility from NR to 3G. We propose the following</w:t>
      </w:r>
      <w:r w:rsidR="005727A7">
        <w:rPr>
          <w:lang w:val="en-US" w:eastAsia="zh-CN"/>
        </w:rPr>
        <w:t xml:space="preserve"> </w:t>
      </w:r>
      <w:r>
        <w:rPr>
          <w:lang w:val="en-US" w:eastAsia="zh-CN"/>
        </w:rPr>
        <w:t>proposal and test case list</w:t>
      </w:r>
    </w:p>
    <w:p w14:paraId="78B247DD" w14:textId="59271300" w:rsidR="006D1AAF" w:rsidRPr="006D1AAF" w:rsidRDefault="00E1556C" w:rsidP="005727A7">
      <w:pPr>
        <w:rPr>
          <w:lang w:val="en-US" w:eastAsia="zh-CN"/>
        </w:rPr>
      </w:pPr>
      <w:r>
        <w:rPr>
          <w:b/>
          <w:bCs/>
          <w:lang w:val="en-US" w:eastAsia="zh-CN"/>
        </w:rPr>
        <w:t>Proposal 1:RRM tests are introduced to verify NR to 3G mobility</w:t>
      </w: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2B7D5768" w14:textId="77777777" w:rsidR="003F08E6" w:rsidRDefault="00273C34" w:rsidP="000E35CC">
      <w:pPr>
        <w:pStyle w:val="3GPPNormalText"/>
        <w:numPr>
          <w:ilvl w:val="0"/>
          <w:numId w:val="5"/>
        </w:numPr>
        <w:rPr>
          <w:szCs w:val="20"/>
          <w:lang w:eastAsia="zh-CN"/>
        </w:rPr>
      </w:pPr>
      <w:bookmarkStart w:id="1" w:name="_Ref23229642"/>
      <w:r>
        <w:rPr>
          <w:szCs w:val="20"/>
          <w:lang w:eastAsia="zh-CN"/>
        </w:rPr>
        <w:t>R4-1912840, “</w:t>
      </w:r>
      <w:r w:rsidRPr="00273C34">
        <w:rPr>
          <w:szCs w:val="20"/>
          <w:lang w:val="en-GB" w:eastAsia="zh-CN"/>
        </w:rPr>
        <w:t>Way forward on RRM enhancement: mandatory of gap patterns</w:t>
      </w:r>
      <w:r>
        <w:rPr>
          <w:szCs w:val="20"/>
          <w:lang w:eastAsia="zh-CN"/>
        </w:rPr>
        <w:t>”, ZTE</w:t>
      </w:r>
      <w:bookmarkEnd w:id="1"/>
    </w:p>
    <w:sectPr w:rsidR="003F08E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78493" w14:textId="77777777" w:rsidR="00CF5A9E" w:rsidRDefault="00CF5A9E">
      <w:r>
        <w:separator/>
      </w:r>
    </w:p>
  </w:endnote>
  <w:endnote w:type="continuationSeparator" w:id="0">
    <w:p w14:paraId="72E6D85A" w14:textId="77777777" w:rsidR="00CF5A9E" w:rsidRDefault="00CF5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C8669" w14:textId="77777777" w:rsidR="00CF5A9E" w:rsidRDefault="00CF5A9E">
      <w:r>
        <w:separator/>
      </w:r>
    </w:p>
  </w:footnote>
  <w:footnote w:type="continuationSeparator" w:id="0">
    <w:p w14:paraId="04FAB335" w14:textId="77777777" w:rsidR="00CF5A9E" w:rsidRDefault="00CF5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4A735A"/>
    <w:multiLevelType w:val="hybridMultilevel"/>
    <w:tmpl w:val="2AFA3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4"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7D39C7"/>
    <w:multiLevelType w:val="hybridMultilevel"/>
    <w:tmpl w:val="76226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8"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BD6747"/>
    <w:multiLevelType w:val="hybridMultilevel"/>
    <w:tmpl w:val="630C2286"/>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93B6291"/>
    <w:multiLevelType w:val="hybridMultilevel"/>
    <w:tmpl w:val="383253FC"/>
    <w:lvl w:ilvl="0" w:tplc="7FE4D708">
      <w:start w:val="1"/>
      <w:numFmt w:val="bullet"/>
      <w:lvlText w:val="•"/>
      <w:lvlJc w:val="left"/>
      <w:pPr>
        <w:tabs>
          <w:tab w:val="num" w:pos="720"/>
        </w:tabs>
        <w:ind w:left="720" w:hanging="360"/>
      </w:pPr>
      <w:rPr>
        <w:rFonts w:ascii="Arial" w:hAnsi="Arial" w:hint="default"/>
      </w:rPr>
    </w:lvl>
    <w:lvl w:ilvl="1" w:tplc="D172A868">
      <w:numFmt w:val="none"/>
      <w:lvlText w:val=""/>
      <w:lvlJc w:val="left"/>
      <w:pPr>
        <w:tabs>
          <w:tab w:val="num" w:pos="360"/>
        </w:tabs>
      </w:pPr>
    </w:lvl>
    <w:lvl w:ilvl="2" w:tplc="52E8EE9A">
      <w:numFmt w:val="none"/>
      <w:lvlText w:val=""/>
      <w:lvlJc w:val="left"/>
      <w:pPr>
        <w:tabs>
          <w:tab w:val="num" w:pos="360"/>
        </w:tabs>
      </w:pPr>
    </w:lvl>
    <w:lvl w:ilvl="3" w:tplc="4C7454E4" w:tentative="1">
      <w:start w:val="1"/>
      <w:numFmt w:val="bullet"/>
      <w:lvlText w:val="•"/>
      <w:lvlJc w:val="left"/>
      <w:pPr>
        <w:tabs>
          <w:tab w:val="num" w:pos="2880"/>
        </w:tabs>
        <w:ind w:left="2880" w:hanging="360"/>
      </w:pPr>
      <w:rPr>
        <w:rFonts w:ascii="Arial" w:hAnsi="Arial" w:hint="default"/>
      </w:rPr>
    </w:lvl>
    <w:lvl w:ilvl="4" w:tplc="3E581F3C" w:tentative="1">
      <w:start w:val="1"/>
      <w:numFmt w:val="bullet"/>
      <w:lvlText w:val="•"/>
      <w:lvlJc w:val="left"/>
      <w:pPr>
        <w:tabs>
          <w:tab w:val="num" w:pos="3600"/>
        </w:tabs>
        <w:ind w:left="3600" w:hanging="360"/>
      </w:pPr>
      <w:rPr>
        <w:rFonts w:ascii="Arial" w:hAnsi="Arial" w:hint="default"/>
      </w:rPr>
    </w:lvl>
    <w:lvl w:ilvl="5" w:tplc="C9041F24" w:tentative="1">
      <w:start w:val="1"/>
      <w:numFmt w:val="bullet"/>
      <w:lvlText w:val="•"/>
      <w:lvlJc w:val="left"/>
      <w:pPr>
        <w:tabs>
          <w:tab w:val="num" w:pos="4320"/>
        </w:tabs>
        <w:ind w:left="4320" w:hanging="360"/>
      </w:pPr>
      <w:rPr>
        <w:rFonts w:ascii="Arial" w:hAnsi="Arial" w:hint="default"/>
      </w:rPr>
    </w:lvl>
    <w:lvl w:ilvl="6" w:tplc="FACE51B0" w:tentative="1">
      <w:start w:val="1"/>
      <w:numFmt w:val="bullet"/>
      <w:lvlText w:val="•"/>
      <w:lvlJc w:val="left"/>
      <w:pPr>
        <w:tabs>
          <w:tab w:val="num" w:pos="5040"/>
        </w:tabs>
        <w:ind w:left="5040" w:hanging="360"/>
      </w:pPr>
      <w:rPr>
        <w:rFonts w:ascii="Arial" w:hAnsi="Arial" w:hint="default"/>
      </w:rPr>
    </w:lvl>
    <w:lvl w:ilvl="7" w:tplc="65F8421C" w:tentative="1">
      <w:start w:val="1"/>
      <w:numFmt w:val="bullet"/>
      <w:lvlText w:val="•"/>
      <w:lvlJc w:val="left"/>
      <w:pPr>
        <w:tabs>
          <w:tab w:val="num" w:pos="5760"/>
        </w:tabs>
        <w:ind w:left="5760" w:hanging="360"/>
      </w:pPr>
      <w:rPr>
        <w:rFonts w:ascii="Arial" w:hAnsi="Arial" w:hint="default"/>
      </w:rPr>
    </w:lvl>
    <w:lvl w:ilvl="8" w:tplc="ADBEC80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2"/>
  </w:num>
  <w:num w:numId="2">
    <w:abstractNumId w:val="41"/>
  </w:num>
  <w:num w:numId="3">
    <w:abstractNumId w:val="44"/>
  </w:num>
  <w:num w:numId="4">
    <w:abstractNumId w:val="13"/>
  </w:num>
  <w:num w:numId="5">
    <w:abstractNumId w:val="17"/>
  </w:num>
  <w:num w:numId="6">
    <w:abstractNumId w:val="37"/>
  </w:num>
  <w:num w:numId="7">
    <w:abstractNumId w:val="14"/>
  </w:num>
  <w:num w:numId="8">
    <w:abstractNumId w:val="30"/>
  </w:num>
  <w:num w:numId="9">
    <w:abstractNumId w:val="20"/>
  </w:num>
  <w:num w:numId="10">
    <w:abstractNumId w:val="21"/>
  </w:num>
  <w:num w:numId="11">
    <w:abstractNumId w:val="10"/>
  </w:num>
  <w:num w:numId="12">
    <w:abstractNumId w:val="26"/>
  </w:num>
  <w:num w:numId="13">
    <w:abstractNumId w:val="1"/>
  </w:num>
  <w:num w:numId="14">
    <w:abstractNumId w:val="2"/>
  </w:num>
  <w:num w:numId="15">
    <w:abstractNumId w:val="43"/>
  </w:num>
  <w:num w:numId="16">
    <w:abstractNumId w:val="27"/>
  </w:num>
  <w:num w:numId="17">
    <w:abstractNumId w:val="29"/>
  </w:num>
  <w:num w:numId="18">
    <w:abstractNumId w:val="12"/>
  </w:num>
  <w:num w:numId="19">
    <w:abstractNumId w:val="33"/>
  </w:num>
  <w:num w:numId="20">
    <w:abstractNumId w:val="35"/>
  </w:num>
  <w:num w:numId="21">
    <w:abstractNumId w:val="9"/>
  </w:num>
  <w:num w:numId="22">
    <w:abstractNumId w:val="39"/>
  </w:num>
  <w:num w:numId="23">
    <w:abstractNumId w:val="4"/>
  </w:num>
  <w:num w:numId="24">
    <w:abstractNumId w:val="31"/>
  </w:num>
  <w:num w:numId="25">
    <w:abstractNumId w:val="11"/>
  </w:num>
  <w:num w:numId="26">
    <w:abstractNumId w:val="34"/>
  </w:num>
  <w:num w:numId="27">
    <w:abstractNumId w:val="24"/>
  </w:num>
  <w:num w:numId="28">
    <w:abstractNumId w:val="25"/>
  </w:num>
  <w:num w:numId="29">
    <w:abstractNumId w:val="40"/>
  </w:num>
  <w:num w:numId="30">
    <w:abstractNumId w:val="36"/>
  </w:num>
  <w:num w:numId="31">
    <w:abstractNumId w:val="38"/>
  </w:num>
  <w:num w:numId="32">
    <w:abstractNumId w:val="16"/>
  </w:num>
  <w:num w:numId="33">
    <w:abstractNumId w:val="23"/>
  </w:num>
  <w:num w:numId="34">
    <w:abstractNumId w:val="3"/>
  </w:num>
  <w:num w:numId="35">
    <w:abstractNumId w:val="7"/>
  </w:num>
  <w:num w:numId="36">
    <w:abstractNumId w:val="8"/>
  </w:num>
  <w:num w:numId="37">
    <w:abstractNumId w:val="32"/>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8"/>
  </w:num>
  <w:num w:numId="40">
    <w:abstractNumId w:val="19"/>
  </w:num>
  <w:num w:numId="41">
    <w:abstractNumId w:val="15"/>
  </w:num>
  <w:num w:numId="42">
    <w:abstractNumId w:val="6"/>
  </w:num>
  <w:num w:numId="43">
    <w:abstractNumId w:val="28"/>
  </w:num>
  <w:num w:numId="44">
    <w:abstractNumId w:val="42"/>
  </w:num>
  <w:num w:numId="45">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2CF"/>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27A7"/>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5C"/>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5A9E"/>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AE9BEB-28AF-4F04-B550-3008117F8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638</Words>
  <Characters>3640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Callender</cp:lastModifiedBy>
  <cp:revision>2</cp:revision>
  <cp:lastPrinted>2009-04-22T13:01:00Z</cp:lastPrinted>
  <dcterms:created xsi:type="dcterms:W3CDTF">2020-02-14T18:13:00Z</dcterms:created>
  <dcterms:modified xsi:type="dcterms:W3CDTF">2020-02-14T18:13:00Z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